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shd w:val="clear" w:fill="FFFFFF"/>
        </w:rPr>
        <w:t>中共北流市委员会北流市人民政府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shd w:val="clear" w:fill="FFFFFF"/>
          <w:lang w:eastAsia="zh-CN"/>
        </w:rPr>
        <w:t>督查和绩效考评办公室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shd w:val="clear" w:fill="FFFFFF"/>
        </w:rPr>
        <w:t>招聘公益性岗位人员公告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right="0" w:firstLine="620" w:firstLineChars="200"/>
        <w:jc w:val="both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根据工作需要，经研究，北流市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督查绩效办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决定面向社会公开招聘公益性岗位人员1名，现将招聘有关事宜公告如下：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招聘数量和岗位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招聘公益性岗位1名，主要从事办公室工作。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二、招聘条件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（一）拥护党的基本路线、方针、政策，遵守宪法和法律；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（二）工作认真，责任心强，品德端正，爱岗敬业，具有良好的品行和职业道德；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（三）年龄18至45周岁以下，男女不限，身体健康，大专文凭以上，熟悉办公室工作者优先；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（四）服从用人单位管理和工作安排；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（五）符合市人社局关于困难对象的条件或持有《就业失业登记证》的“就业困难人员”。“就业困难人员”是指持有《就业创业证》并登记失业的下列人员之一：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1.持《残疾证》的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城镇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残疾人员；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2.女性40周岁以上、男性50周岁以上人员；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3.享受城市居民最低生活保障人员；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4.城镇零就业家庭人员；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5.登记失业连续12个月以上人员；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6.因失地失海或重大自然灾害失业人员；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b w:val="0"/>
          <w:i w:val="0"/>
          <w:color w:val="00000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7.符合自治区人民政府规定的其他难以实现就业情形的人员。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10" w:lineRule="atLeast"/>
        <w:ind w:left="0" w:right="0" w:firstLine="420"/>
        <w:rPr>
          <w:color w:val="000000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有下列情形之一的，不得报名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10" w:lineRule="atLeast"/>
        <w:ind w:left="0" w:right="0" w:firstLine="420"/>
        <w:rPr>
          <w:color w:val="00000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1.本人受过刑事处罚或治安管理处罚的，或有犯罪嫌疑尚未查清的；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10" w:lineRule="atLeast"/>
        <w:ind w:left="0" w:right="0" w:firstLine="420"/>
        <w:rPr>
          <w:color w:val="00000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2.本人曾被国家机关、事业单位开除、辞退的；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10" w:lineRule="atLeast"/>
        <w:ind w:left="0" w:right="0" w:firstLine="420"/>
        <w:rPr>
          <w:color w:val="00000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3.本人曾被劳动教养的人员；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10" w:lineRule="atLeast"/>
        <w:ind w:left="0" w:right="0" w:firstLine="420"/>
        <w:rPr>
          <w:color w:val="00000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4.本人受过行政、党纪处分的人员；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368" w:lineRule="atLeast"/>
        <w:ind w:left="0" w:right="0" w:firstLine="420"/>
        <w:rPr>
          <w:color w:val="00000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5.本人因违反国家有关法律规定，被解除劳动合同或因违纪违规被开除、辞退、解聘的。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三、招聘程序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1.报名时间：2022年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日至2022年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日（上班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时间）。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2.报名地点：市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督查绩效办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西河南路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0002号交运局6楼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3.报名及资格审核：应聘人员携带本人身份证、户口簿等所需材料的原件和复印件，填写报名表一式二份。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4.考核：对符合条件人员通过面试方式对报名人员进行面试，主要测试临场应变、分析判断、语言表达能力，从中择优录取。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四、薪酬待遇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1.按照公益岗位相关政策签订用工合同。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2.工资待遇按北流市公益性岗位工资标准实施。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五、聘用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拟聘用对象必须在规定时间内办理报到、录用手续，否则视作自动放弃。试用期一个月，试用期满合格者签订公益性岗位劳动合同，其用工管理按公益性岗位有关文件规定执行。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六、监督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本次招聘活动，坚持公开、平等、竞争、择优的原则，严格按照有关规定进行招聘。主动接受广大干部群众和社会、舆论的监督。如发现弄虚作假、徇私舞弊等行为者，请向我单位举报投诉。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咨询电话：0775-6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299929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附件：北流市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督查绩效办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公益岗位招聘报名表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                              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960" w:firstLineChars="1600"/>
        <w:jc w:val="both"/>
        <w:rPr>
          <w:rFonts w:hint="eastAsia" w:eastAsia="仿宋_GB2312"/>
          <w:lang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 北流市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督查绩效办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42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                               2022年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26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9"/>
        <w:tblW w:w="10140" w:type="dxa"/>
        <w:tblInd w:w="-9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40"/>
        <w:gridCol w:w="720"/>
        <w:gridCol w:w="658"/>
        <w:gridCol w:w="782"/>
        <w:gridCol w:w="402"/>
        <w:gridCol w:w="600"/>
        <w:gridCol w:w="258"/>
        <w:gridCol w:w="922"/>
        <w:gridCol w:w="878"/>
        <w:gridCol w:w="900"/>
        <w:gridCol w:w="1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北流市机关事业单位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eastAsia="zh-CN"/>
              </w:rPr>
              <w:t>公益性岗位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人员登记审批表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填表时间：      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022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 工作 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4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</w:tc>
        <w:tc>
          <w:tcPr>
            <w:tcW w:w="912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</w:tc>
        <w:tc>
          <w:tcPr>
            <w:tcW w:w="9122" w:type="dxa"/>
            <w:gridSpan w:val="11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</w:tc>
        <w:tc>
          <w:tcPr>
            <w:tcW w:w="9122" w:type="dxa"/>
            <w:gridSpan w:val="11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9122" w:type="dxa"/>
            <w:gridSpan w:val="11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工作单位意见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工作单位主管部门意见</w:t>
            </w: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办理 情况</w:t>
            </w:r>
          </w:p>
        </w:tc>
        <w:tc>
          <w:tcPr>
            <w:tcW w:w="91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21FCB"/>
    <w:rsid w:val="04163374"/>
    <w:rsid w:val="2193777D"/>
    <w:rsid w:val="338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2022-09-19T08:45:00Z</dcterms:created>
  <dc:creator>Administrator</dc:creator>
  <cp:lastModifiedBy>Administrator</cp:lastModifiedBy>
  <dcterms:modified xsi:type="dcterms:W3CDTF">2022-09-23T08:16:46Z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