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" w:eastAsia="zh-CN"/>
              </w:rPr>
              <w:t>用地规划辅助岗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开发利用科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" w:eastAsia="zh-CN"/>
              </w:rPr>
              <w:t>负责招拍挂项目用地选址、用地报批、土地出让工作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</w:rPr>
              <w:t>本科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</w:rPr>
              <w:t>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</w:rPr>
              <w:t>学士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</w:rPr>
              <w:t>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" w:eastAsia="zh-CN"/>
              </w:rPr>
              <w:t>土地资源管理；城乡规划学；城乡规划；自然地理与资源环境；人文地理与城乡规划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" w:eastAsia="zh-CN"/>
              </w:rPr>
              <w:t>具有较强的综合写作和沟通协调能力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" w:eastAsia="zh-CN"/>
              </w:rPr>
              <w:t>用地规划辅助岗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开发利用科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" w:eastAsia="zh-CN"/>
              </w:rPr>
              <w:t>负责耕地保护工作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学士及以上学位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" w:eastAsia="zh-CN"/>
              </w:rPr>
              <w:t>土地资源管理；城乡规划学；城乡规划；自然地理与资源环境；人文地理与城乡规划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" w:eastAsia="zh-CN"/>
              </w:rPr>
              <w:t>具有较强的综合写作和沟通协调能力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" w:eastAsia="zh-CN"/>
              </w:rPr>
              <w:t>用地规划辅助岗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开发利用科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" w:eastAsia="zh-CN"/>
              </w:rPr>
              <w:t>负责科研项目全流程管理、临时用地报批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学士及以上学位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" w:eastAsia="zh-CN"/>
              </w:rPr>
              <w:t>土地资源管理；城乡规划学；城乡规划；自然地理与资源环境；人文地理与城乡规划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0"/>
                <w:szCs w:val="20"/>
                <w:lang w:val="en" w:eastAsia="zh-CN"/>
              </w:rPr>
              <w:t>具有较强的综合写作和沟通协调能力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312600B5"/>
    <w:rsid w:val="3CF75744"/>
    <w:rsid w:val="3DF9E283"/>
    <w:rsid w:val="42A31BB9"/>
    <w:rsid w:val="43EF3E73"/>
    <w:rsid w:val="4ADD461A"/>
    <w:rsid w:val="4F900C04"/>
    <w:rsid w:val="5BEF8BEA"/>
    <w:rsid w:val="60EC1E7D"/>
    <w:rsid w:val="797F530B"/>
    <w:rsid w:val="7DFD3648"/>
    <w:rsid w:val="F7733F4E"/>
    <w:rsid w:val="F7A6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2019-05-25T16:44:00Z</dcterms:created>
  <dc:creator>null</dc:creator>
  <cp:lastModifiedBy>gm</cp:lastModifiedBy>
  <cp:lastPrinted>2020-05-17T17:10:00Z</cp:lastPrinted>
  <dcterms:modified xsi:type="dcterms:W3CDTF">2022-08-05T15:01:24Z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