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eastAsia="方正仿宋_GBK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002" w:tblpY="234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828"/>
        <w:gridCol w:w="603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相关要求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考核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重症医学科医师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一、35周岁以下，全日制本科及以上学历及相应学位，临床医学专业，须具有医师资格证及医师规培证。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高级职称可适当放宽年龄。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肾脏内科医师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一、35周岁以下，全日制本科及以上学历及相应学位，临床医学、内科学（肾病）等相关专业，须具有医师资格证及医师规培证。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高级职称可适当放宽年龄。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老年医学科医师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一、35周岁以下，全日制本科及以上学历及相应学位，临床医学、内科学（老年医学）等相关专业，须具有医师资格证及医师规培证。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二、全日制硕士研究生及以上学历者优先。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麻醉科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一、35周岁以下，全日制本科及以上学历及相应学位，临床医学、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麻醉学相关专业，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二、有疼痛治疗方面相关学习和工作经历者优先。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三、全日制硕士研究生及以上学历者优先。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内分泌风湿免疫科医师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一、35周岁以下，全日制本科及以上学历及相应学位，临床医学、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内科学（风湿病）等相关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专业。须具有医师资格证及医师规培证。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高级职称可适当放宽年龄。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儿科医师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</w:t>
            </w:r>
            <w:r>
              <w:rPr>
                <w:rFonts w:hint="eastAsia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，全日制本科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及以上学历及相应学位，临床医学、儿科学专业，须具有医师资格证及医师规培证。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高级职称可适当放宽年龄。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泌尿外科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一、35周岁以下，全日制硕士研究生及以上学历及相应学位，外科学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（泌尿外科）等相关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专业，须具有医师资格证及医师规培证。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二、具有中级及以上职称者学历可放宽至全日制本科，须具有医师资格证及医师规培证。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技师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</w:t>
            </w:r>
            <w:r>
              <w:rPr>
                <w:rFonts w:hint="eastAsia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，全日制本科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及以上学历及相应学位，康复治疗学、听力与言语康复学等相关专业。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二、取得技师资格证者优先。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三、有耳鼻咽喉头颈外科、心肺康复、呼吸治疗等方面规培、学习和工作经历者优先。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四、全日制硕士研究生及以上学历者优先。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五、拟聘人员根据岗位情况进行调配。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实验医学科检验师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一、35周岁以下，全日制硕士研究生及以上学历及相应学位，医学检验技术、临床医学等相关专业，须具有检验师资格证。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二、有相关规培经历者优先。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院感科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专职人员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一、30周岁以下，全日制本科及以上学历及相应学位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流行病与卫生统计学、临床医学、药学、医学技术类等相关专业。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二、有临床、感控相关工作经历者优先。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三、能熟练运用办公软件。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理论考试+面试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审计科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审计员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一、35周岁以下，已取得全日制本科及以上学历的毕业证及学位证，会计学、审计学、财务管理等相关专业。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有审计相关工作经历者优先。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具有相关资格证者优先。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四、能熟练运用办公软件。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理论考试+面试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科教科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干事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一、30周岁以下，全日制本科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及以上学历及相应学位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医学、公共事业管理等相关专业。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二、有科研成果者优先。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三、有一定的文字功底，能熟练运用日常办公软件。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运管信息科专科助理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一、30周岁以下，全日制本科及以上学历及相应学位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，医学和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管理类相关专业。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二、有三级医院运营管理相关工作经历者优先（须提供三级医院工作相关证明）。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三、有一定的文字功底，能熟练运用日常办公软件。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医学装备</w:t>
            </w:r>
            <w:r>
              <w:rPr>
                <w:rFonts w:hint="eastAsia"/>
                <w:color w:val="auto"/>
                <w:lang w:val="en-US" w:eastAsia="zh-CN"/>
              </w:rPr>
              <w:t>部医疗设备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管理员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一、30周岁以下，全日制本科及以上学历及相应学位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，医疗设备管理（生物医学工程、医学影像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工程等）相关专业。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二、有医疗设备管理相关工作经历者优先。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三、能熟练运用办公软件。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保卫科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安保人员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（工勤）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一、35周岁以下，大学专科及以上学历，专业不限，退伍军人可放宽为高中。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二、五官端正，身体健康，男性身高在170cm以上。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三、有良好的身体素质，有一定的口头表达能力和沟通协调能力。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四、有一定的文字功底，能熟练运用日常办公软件。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五、有较强的执行能力及危机处理能力。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面试+体测/考核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8FBFF"/>
    <w:multiLevelType w:val="singleLevel"/>
    <w:tmpl w:val="B5E8FBF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E5FCB16"/>
    <w:multiLevelType w:val="singleLevel"/>
    <w:tmpl w:val="BE5FCB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D23271"/>
    <w:multiLevelType w:val="singleLevel"/>
    <w:tmpl w:val="16D232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560CD94"/>
    <w:multiLevelType w:val="singleLevel"/>
    <w:tmpl w:val="4560CD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C96ACB6"/>
    <w:multiLevelType w:val="singleLevel"/>
    <w:tmpl w:val="5C96AC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81457"/>
    <w:rsid w:val="03A75107"/>
    <w:rsid w:val="03EF00E5"/>
    <w:rsid w:val="03F70DF4"/>
    <w:rsid w:val="073A7B3B"/>
    <w:rsid w:val="07711EDA"/>
    <w:rsid w:val="0A8212EE"/>
    <w:rsid w:val="10C52112"/>
    <w:rsid w:val="118A3708"/>
    <w:rsid w:val="11A8383B"/>
    <w:rsid w:val="11E37A9F"/>
    <w:rsid w:val="16781457"/>
    <w:rsid w:val="171A703B"/>
    <w:rsid w:val="17C824B6"/>
    <w:rsid w:val="1A35183D"/>
    <w:rsid w:val="1A3642B5"/>
    <w:rsid w:val="26CC6775"/>
    <w:rsid w:val="2AF35EDD"/>
    <w:rsid w:val="2D637BC4"/>
    <w:rsid w:val="2E747043"/>
    <w:rsid w:val="31396758"/>
    <w:rsid w:val="325A1376"/>
    <w:rsid w:val="32EC18F4"/>
    <w:rsid w:val="3336699B"/>
    <w:rsid w:val="35C95149"/>
    <w:rsid w:val="36EB15FF"/>
    <w:rsid w:val="3A6B4A76"/>
    <w:rsid w:val="40B30790"/>
    <w:rsid w:val="44B51A87"/>
    <w:rsid w:val="4C3E2C0E"/>
    <w:rsid w:val="517C0E97"/>
    <w:rsid w:val="52634053"/>
    <w:rsid w:val="59A83E8A"/>
    <w:rsid w:val="5EB24D91"/>
    <w:rsid w:val="60E57F28"/>
    <w:rsid w:val="63074BFA"/>
    <w:rsid w:val="661060D2"/>
    <w:rsid w:val="6B656165"/>
    <w:rsid w:val="741F3DDC"/>
    <w:rsid w:val="74A76410"/>
    <w:rsid w:val="7C72705B"/>
    <w:rsid w:val="7E3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20" w:lineRule="exact"/>
      <w:ind w:firstLine="560" w:firstLineChars="200"/>
      <w:jc w:val="both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420" w:lineRule="exact"/>
      <w:jc w:val="center"/>
      <w:outlineLvl w:val="0"/>
    </w:pPr>
    <w:rPr>
      <w:rFonts w:ascii="Times New Roman" w:hAnsi="Times New Roman" w:eastAsia="方正小标宋_GBK"/>
      <w:sz w:val="30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2022-02-23T01:22:00Z</dcterms:created>
  <dc:creator>hp</dc:creator>
  <cp:lastModifiedBy>hp</cp:lastModifiedBy>
  <dcterms:modified xsi:type="dcterms:W3CDTF">2022-04-20T03:03:00Z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9973F17DBA2B41DEA31B95BF0D6707FB</vt:lpwstr>
  </property>
</Properties>
</file>